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2DDE39C2"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w:t>
      </w:r>
      <w:r w:rsidRPr="00EB70D9">
        <w:rPr>
          <w:rFonts w:ascii="Arial" w:hAnsi="Arial" w:cs="Arial"/>
          <w:b/>
          <w:bCs/>
          <w:lang w:val="en-US" w:eastAsia="en-US"/>
        </w:rPr>
        <w:t>ting #</w:t>
      </w:r>
      <w:r w:rsidR="006A77F4" w:rsidRPr="00EB70D9">
        <w:rPr>
          <w:rFonts w:ascii="Arial" w:hAnsi="Arial" w:cs="Arial"/>
          <w:b/>
          <w:bCs/>
          <w:lang w:val="en-US" w:eastAsia="en-US"/>
        </w:rPr>
        <w:t>12</w:t>
      </w:r>
      <w:r w:rsidR="00BB46EA" w:rsidRPr="00EB70D9">
        <w:rPr>
          <w:rFonts w:ascii="Arial" w:eastAsia="Malgun Gothic" w:hAnsi="Arial" w:cs="Arial" w:hint="eastAsia"/>
          <w:b/>
          <w:bCs/>
          <w:lang w:val="en-US" w:eastAsia="ko-KR"/>
        </w:rPr>
        <w:t>8</w:t>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Pr="00EB70D9">
        <w:rPr>
          <w:rFonts w:ascii="Arial" w:hAnsi="Arial" w:cs="Arial"/>
          <w:b/>
          <w:bCs/>
          <w:lang w:val="en-US" w:eastAsia="en-US"/>
        </w:rPr>
        <w:tab/>
      </w:r>
      <w:r w:rsidR="005963E4" w:rsidRPr="00EB70D9">
        <w:rPr>
          <w:rFonts w:ascii="Arial" w:hAnsi="Arial" w:cs="Arial"/>
          <w:b/>
          <w:bCs/>
          <w:lang w:val="en-US" w:eastAsia="en-US"/>
        </w:rPr>
        <w:tab/>
      </w:r>
      <w:r w:rsidR="005963E4" w:rsidRPr="00EB70D9">
        <w:rPr>
          <w:rFonts w:ascii="Arial" w:hAnsi="Arial" w:cs="Arial"/>
          <w:b/>
          <w:bCs/>
          <w:lang w:val="en-US" w:eastAsia="en-US"/>
        </w:rPr>
        <w:tab/>
      </w:r>
      <w:r w:rsidR="002972CE" w:rsidRPr="00EB70D9">
        <w:rPr>
          <w:rFonts w:ascii="Arial" w:eastAsia="Malgun Gothic" w:hAnsi="Arial" w:cs="Arial"/>
          <w:b/>
          <w:bCs/>
          <w:lang w:val="en-US" w:eastAsia="ko-KR"/>
        </w:rPr>
        <w:tab/>
      </w:r>
      <w:r w:rsidR="00110BB2" w:rsidRPr="00EB70D9">
        <w:rPr>
          <w:rFonts w:ascii="Arial" w:hAnsi="Arial" w:cs="Arial"/>
          <w:b/>
          <w:bCs/>
          <w:lang w:val="en-US" w:eastAsia="en-US"/>
        </w:rPr>
        <w:t>R2-</w:t>
      </w:r>
      <w:r w:rsidR="0042107C" w:rsidRPr="00EB70D9">
        <w:rPr>
          <w:rFonts w:ascii="Arial" w:hAnsi="Arial" w:cs="Arial"/>
          <w:b/>
          <w:bCs/>
          <w:lang w:val="en-US" w:eastAsia="en-US"/>
        </w:rPr>
        <w:t>2</w:t>
      </w:r>
      <w:r w:rsidR="00EB70D9" w:rsidRPr="00EB70D9">
        <w:rPr>
          <w:rFonts w:ascii="Arial" w:hAnsi="Arial" w:cs="Arial"/>
          <w:b/>
          <w:bCs/>
          <w:lang w:val="en-US" w:eastAsia="en-US"/>
        </w:rPr>
        <w:t>410089</w:t>
      </w:r>
    </w:p>
    <w:bookmarkEnd w:id="0"/>
    <w:p w14:paraId="6BB14B0B" w14:textId="65B31EB4" w:rsidR="005963E4" w:rsidRDefault="002972CE"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 xml:space="preserve">Orlando, USA, November 18th </w:t>
      </w:r>
      <w:r>
        <w:rPr>
          <w:rFonts w:ascii="Arial" w:eastAsia="Malgun Gothic" w:hAnsi="Arial" w:cs="Arial"/>
          <w:b/>
          <w:bCs/>
          <w:lang w:val="en-US" w:eastAsia="ko-KR"/>
        </w:rPr>
        <w:t>–</w:t>
      </w:r>
      <w:r>
        <w:rPr>
          <w:rFonts w:ascii="Arial" w:eastAsia="Malgun Gothic" w:hAnsi="Arial" w:cs="Arial" w:hint="eastAsia"/>
          <w:b/>
          <w:bCs/>
          <w:lang w:val="en-US" w:eastAsia="ko-KR"/>
        </w:rPr>
        <w:t xml:space="preserve"> 22nd</w:t>
      </w:r>
      <w:r w:rsidR="005963E4" w:rsidRPr="005963E4">
        <w:rPr>
          <w:rFonts w:ascii="Arial" w:hAnsi="Arial" w:cs="Arial"/>
          <w:b/>
          <w:bCs/>
          <w:lang w:val="en-US"/>
        </w:rPr>
        <w:t>, 2024</w:t>
      </w:r>
    </w:p>
    <w:p w14:paraId="06D73357" w14:textId="474FF1CF" w:rsidR="00003169" w:rsidRPr="00413F1B"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413F1B">
        <w:rPr>
          <w:rFonts w:ascii="Arial" w:eastAsia="Malgun Gothic" w:hAnsi="Arial" w:cs="Arial" w:hint="eastAsia"/>
          <w:b/>
          <w:bCs/>
          <w:lang w:val="en-US" w:eastAsia="ko-KR"/>
        </w:rPr>
        <w:t>8.7.3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5300F106" w:rsidR="00003169" w:rsidRPr="00413F1B"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413F1B">
        <w:rPr>
          <w:rFonts w:ascii="Arial" w:eastAsia="Malgun Gothic" w:hAnsi="Arial" w:cs="Arial" w:hint="eastAsia"/>
          <w:b/>
          <w:bCs/>
          <w:lang w:val="en-US" w:eastAsia="ko-KR"/>
        </w:rPr>
        <w:t>RAN2 Issues on Gap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6CC5CD2B" w14:textId="6391978F" w:rsidR="00E72ABD" w:rsidRDefault="00A26BBA" w:rsidP="00E72ABD">
      <w:pPr>
        <w:spacing w:line="240" w:lineRule="auto"/>
        <w:rPr>
          <w:b/>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made the following agreements:</w:t>
      </w:r>
    </w:p>
    <w:tbl>
      <w:tblPr>
        <w:tblStyle w:val="TableGrid"/>
        <w:tblW w:w="0" w:type="auto"/>
        <w:tblInd w:w="-5" w:type="dxa"/>
        <w:tblLook w:val="04A0" w:firstRow="1" w:lastRow="0" w:firstColumn="1" w:lastColumn="0" w:noHBand="0" w:noVBand="1"/>
      </w:tblPr>
      <w:tblGrid>
        <w:gridCol w:w="8909"/>
      </w:tblGrid>
      <w:tr w:rsidR="00E72ABD" w14:paraId="00ED3A14" w14:textId="77777777" w:rsidTr="00E72ABD">
        <w:tc>
          <w:tcPr>
            <w:tcW w:w="8909" w:type="dxa"/>
          </w:tcPr>
          <w:p w14:paraId="7B5CD7F0" w14:textId="77777777" w:rsidR="00E72ABD" w:rsidRDefault="00E72ABD" w:rsidP="00BF2649">
            <w:pPr>
              <w:pStyle w:val="Doc-text2"/>
              <w:ind w:left="0" w:firstLine="0"/>
              <w:rPr>
                <w:b/>
              </w:rPr>
            </w:pPr>
            <w:r>
              <w:rPr>
                <w:b/>
              </w:rPr>
              <w:t>Agreements for RRM measurement gap skipping</w:t>
            </w:r>
          </w:p>
          <w:p w14:paraId="33D512FE" w14:textId="77777777" w:rsidR="00E72ABD" w:rsidRPr="00165123" w:rsidRDefault="00E72ABD" w:rsidP="00E72ABD">
            <w:pPr>
              <w:pStyle w:val="Agreement"/>
              <w:numPr>
                <w:ilvl w:val="0"/>
                <w:numId w:val="38"/>
              </w:numPr>
              <w:rPr>
                <w:b w:val="0"/>
              </w:rPr>
            </w:pPr>
            <w:r w:rsidRPr="00165123">
              <w:rPr>
                <w:b w:val="0"/>
              </w:rPr>
              <w:t>RAN2 assumes that at least some impact on DSR from MG skipping can be avoided by NW implementation. FFS whether there is an impact which would require some specification changes/enhancements.</w:t>
            </w:r>
          </w:p>
          <w:p w14:paraId="1046570B" w14:textId="77777777" w:rsidR="00E72ABD" w:rsidRPr="00165123" w:rsidRDefault="00E72ABD" w:rsidP="00E72ABD">
            <w:pPr>
              <w:pStyle w:val="Agreement"/>
              <w:numPr>
                <w:ilvl w:val="0"/>
                <w:numId w:val="38"/>
              </w:numPr>
              <w:rPr>
                <w:b w:val="0"/>
              </w:rPr>
            </w:pPr>
            <w:r w:rsidRPr="00165123">
              <w:rPr>
                <w:b w:val="0"/>
              </w:rPr>
              <w:t>No need to have delay-aware LCP enhancements specific for MG skipping, i.e. MG skipping and delay-aware LCP are designed as independent features</w:t>
            </w:r>
          </w:p>
          <w:p w14:paraId="75860062" w14:textId="77777777" w:rsidR="00E72ABD" w:rsidRPr="00165123" w:rsidRDefault="00E72ABD" w:rsidP="00E72ABD">
            <w:pPr>
              <w:pStyle w:val="Agreement"/>
              <w:numPr>
                <w:ilvl w:val="0"/>
                <w:numId w:val="38"/>
              </w:numPr>
              <w:rPr>
                <w:b w:val="0"/>
              </w:rPr>
            </w:pPr>
            <w:r w:rsidRPr="00165123">
              <w:rPr>
                <w:b w:val="0"/>
              </w:rPr>
              <w:t>RAN2 can further evaluate whether there is any impact on DRX from MG skipping. For the moment, the issue is unclear.</w:t>
            </w:r>
          </w:p>
          <w:p w14:paraId="30C9A311" w14:textId="77777777" w:rsidR="00E72ABD" w:rsidRPr="00165123" w:rsidRDefault="00E72ABD" w:rsidP="00E72ABD">
            <w:pPr>
              <w:pStyle w:val="Agreement"/>
              <w:numPr>
                <w:ilvl w:val="0"/>
                <w:numId w:val="38"/>
              </w:numPr>
              <w:rPr>
                <w:b w:val="0"/>
              </w:rPr>
            </w:pPr>
            <w:r w:rsidRPr="00165123">
              <w:rPr>
                <w:b w:val="0"/>
              </w:rPr>
              <w:t>RAN2 will focus its work on supporting the solution chosen by RAN1/RAN4</w:t>
            </w:r>
          </w:p>
          <w:p w14:paraId="42819991" w14:textId="77777777" w:rsidR="00E72ABD" w:rsidRPr="00165123" w:rsidRDefault="00E72ABD" w:rsidP="00E72ABD">
            <w:pPr>
              <w:pStyle w:val="Agreement"/>
              <w:numPr>
                <w:ilvl w:val="0"/>
                <w:numId w:val="38"/>
              </w:numPr>
              <w:rPr>
                <w:b w:val="0"/>
              </w:rPr>
            </w:pPr>
            <w:r w:rsidRPr="00165123">
              <w:rPr>
                <w:b w:val="0"/>
              </w:rPr>
              <w:t>RAN2 can discuss whether there is a need to additionally have other solution (e.g. RRC-based) which can be decided after RAN1/RAN4 evaluation and knowing more details of DCI-based solution</w:t>
            </w:r>
          </w:p>
        </w:tc>
      </w:tr>
    </w:tbl>
    <w:p w14:paraId="27D9C20C" w14:textId="77777777" w:rsidR="00E72ABD" w:rsidRDefault="00E72ABD" w:rsidP="00E72ABD">
      <w:pPr>
        <w:pStyle w:val="Doc-text2"/>
        <w:ind w:left="0" w:firstLine="0"/>
      </w:pPr>
    </w:p>
    <w:p w14:paraId="49BB1A60" w14:textId="75943B24" w:rsidR="007B341B" w:rsidRDefault="005963E4" w:rsidP="00FF2CF7">
      <w:pPr>
        <w:spacing w:line="240" w:lineRule="auto"/>
        <w:rPr>
          <w:bCs/>
          <w:szCs w:val="22"/>
        </w:rPr>
      </w:pPr>
      <w:r>
        <w:rPr>
          <w:bCs/>
          <w:szCs w:val="22"/>
        </w:rPr>
        <w:t xml:space="preserve">This document discusses </w:t>
      </w:r>
      <w:r w:rsidR="00687678">
        <w:rPr>
          <w:bCs/>
          <w:szCs w:val="22"/>
        </w:rPr>
        <w:t>remaining RAN2 issues on gap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61DC73E" w14:textId="0CB982A5" w:rsidR="008E0677" w:rsidRDefault="00257E83" w:rsidP="00EF18D6">
      <w:pPr>
        <w:spacing w:line="240" w:lineRule="auto"/>
      </w:pPr>
      <w:r>
        <w:t>Actual remaining time of an SDU can be different from the defined remaining time purely based on PDCP discard timer in case that measurement gap is used and no transmission during the gap is allowed. The current RAN2 assumption made in RAN2#127bis meeting is that some impact on DSR from the gap skipping can be avoided by network implementation.</w:t>
      </w:r>
      <w:r w:rsidR="00C30A6C">
        <w:t xml:space="preserve"> Based on the RAN2 assumption, only remaining part is any spec impact. The network implementation means that the network </w:t>
      </w:r>
      <w:r w:rsidR="00FC0069">
        <w:t xml:space="preserve">should </w:t>
      </w:r>
      <w:r w:rsidR="00C30A6C">
        <w:t>consider the fact that actual remaining time may be different from what is reported in the DSR. This is about gap configuration, which is not specified in the UE procedure texts. Instead, we may consider some texts in stage-2 spec that the impact can be considered and avoided by the network.</w:t>
      </w:r>
    </w:p>
    <w:p w14:paraId="0A23DE7E" w14:textId="4EEBB3A8" w:rsidR="008E0677" w:rsidRDefault="008E0677" w:rsidP="006D4400">
      <w:pPr>
        <w:pStyle w:val="Proposal"/>
      </w:pPr>
      <w:r>
        <w:t xml:space="preserve">Stage-2 spec captures that the impact on DSR from the gap skipping can be considered and avoided by the network. </w:t>
      </w:r>
    </w:p>
    <w:p w14:paraId="466A1BC6" w14:textId="395D6661" w:rsidR="008E0677" w:rsidRPr="00500BED" w:rsidRDefault="00500BED" w:rsidP="00EF18D6">
      <w:pPr>
        <w:spacing w:line="240" w:lineRule="auto"/>
        <w:rPr>
          <w:rFonts w:eastAsia="Malgun Gothic"/>
          <w:lang w:eastAsia="ko-KR"/>
        </w:rPr>
      </w:pPr>
      <w:r>
        <w:rPr>
          <w:rFonts w:eastAsia="Malgun Gothic" w:hint="eastAsia"/>
          <w:lang w:eastAsia="ko-KR"/>
        </w:rPr>
        <w:t>Another FFS point is DRX impact that</w:t>
      </w:r>
      <w:r w:rsidR="00747377">
        <w:rPr>
          <w:rFonts w:eastAsia="Malgun Gothic"/>
          <w:lang w:eastAsia="ko-KR"/>
        </w:rPr>
        <w:t xml:space="preserve"> the gap status changes the required DRX active time. The issue is </w:t>
      </w:r>
      <w:proofErr w:type="gramStart"/>
      <w:r w:rsidR="00747377">
        <w:rPr>
          <w:rFonts w:eastAsia="Malgun Gothic"/>
          <w:lang w:eastAsia="ko-KR"/>
        </w:rPr>
        <w:t>similar to</w:t>
      </w:r>
      <w:proofErr w:type="gramEnd"/>
      <w:r w:rsidR="00747377">
        <w:rPr>
          <w:rFonts w:eastAsia="Malgun Gothic"/>
          <w:lang w:eastAsia="ko-KR"/>
        </w:rPr>
        <w:t xml:space="preserve"> the DSR impact which was concluded as the implementation territory. We see that the same principle can be used for both cases. Considering the last meeting assumption, we can leave it up to the network and consider some stage-2 texts.</w:t>
      </w:r>
    </w:p>
    <w:p w14:paraId="0E08F633" w14:textId="435800FC" w:rsidR="008E0677" w:rsidRPr="006D4400" w:rsidRDefault="00610A1A" w:rsidP="006D4400">
      <w:pPr>
        <w:pStyle w:val="Proposal"/>
      </w:pPr>
      <w:r w:rsidRPr="006D4400">
        <w:rPr>
          <w:rFonts w:hint="eastAsia"/>
        </w:rPr>
        <w:t xml:space="preserve">DRX impact of gap skipping can be considered and avoided by network implementation, </w:t>
      </w:r>
      <w:proofErr w:type="gramStart"/>
      <w:r w:rsidRPr="006D4400">
        <w:rPr>
          <w:rFonts w:hint="eastAsia"/>
        </w:rPr>
        <w:t xml:space="preserve">similar </w:t>
      </w:r>
      <w:r w:rsidR="00F16415" w:rsidRPr="006D4400">
        <w:rPr>
          <w:rFonts w:hint="eastAsia"/>
        </w:rPr>
        <w:t>t</w:t>
      </w:r>
      <w:r w:rsidRPr="006D4400">
        <w:rPr>
          <w:rFonts w:hint="eastAsia"/>
        </w:rPr>
        <w:t>o</w:t>
      </w:r>
      <w:proofErr w:type="gramEnd"/>
      <w:r w:rsidRPr="006D4400">
        <w:rPr>
          <w:rFonts w:hint="eastAsia"/>
        </w:rPr>
        <w:t xml:space="preserve"> DSR impact. </w:t>
      </w:r>
    </w:p>
    <w:p w14:paraId="689D296B" w14:textId="58864537" w:rsidR="009743EF" w:rsidRDefault="003B0DED" w:rsidP="009743EF">
      <w:pPr>
        <w:spacing w:before="240" w:line="240" w:lineRule="auto"/>
      </w:pPr>
      <w:r>
        <w:t xml:space="preserve">The next issue is how to capture the DCI-based gap indication which was agreed in RAN1 and being discussed on detail in RAN1 and RAN4. In other words, </w:t>
      </w:r>
      <w:r w:rsidR="009743EF">
        <w:t>RAN2 needs to discuss whether and what RAN2 spec impacts are expected. TS 38.321 specifies the MAC behaviour during the activated measurement gap. The legacy measurement gap is configured by RRC. An assumption is that the MAC entity is aware of the time during which the measurement gap is activated. Thus, the MAC specification does not specify how the MAC entity is aware of it.</w:t>
      </w:r>
    </w:p>
    <w:p w14:paraId="704AD678" w14:textId="77777777" w:rsidR="009743EF" w:rsidRDefault="009743EF" w:rsidP="009743EF">
      <w:pPr>
        <w:spacing w:before="240" w:line="240" w:lineRule="auto"/>
      </w:pPr>
      <w:r>
        <w:lastRenderedPageBreak/>
        <w:t xml:space="preserve">For DCI indication, RRC </w:t>
      </w:r>
      <w:proofErr w:type="spellStart"/>
      <w:r>
        <w:t>signaling</w:t>
      </w:r>
      <w:proofErr w:type="spellEnd"/>
      <w:r>
        <w:t xml:space="preserve"> does not provide any information on the actual activated time of measurement gap. Thus, MAC entity needs to refer to somewhere in the specification. A simplest way is that the MAC specification specifies that MAC entity considers the corresponding first measurement gap offset after the DCI as not activated. Then, we can just reuse other existing texts without any change.</w:t>
      </w:r>
    </w:p>
    <w:p w14:paraId="0212A951" w14:textId="77777777" w:rsidR="009743EF" w:rsidRDefault="009743EF" w:rsidP="009743EF">
      <w:pPr>
        <w:pStyle w:val="Proposal"/>
      </w:pPr>
      <w:r>
        <w:t>TS 38.321 specifies: if the explicit indication by DCI to skip a particular gap, the MAC entity considers the corresponding first measurement gap as not activated.</w:t>
      </w:r>
    </w:p>
    <w:p w14:paraId="20F6354F" w14:textId="77777777" w:rsidR="009743EF" w:rsidRDefault="009743EF" w:rsidP="009743EF">
      <w:pPr>
        <w:spacing w:before="240" w:line="240" w:lineRule="auto"/>
        <w:rPr>
          <w:lang w:val="en-US"/>
        </w:rPr>
      </w:pPr>
      <w:r>
        <w:t>In RAN1#117, RAN1 reached the conclusion on UE assistance information without consensus as follows:</w:t>
      </w:r>
    </w:p>
    <w:tbl>
      <w:tblPr>
        <w:tblStyle w:val="TableGrid"/>
        <w:tblW w:w="0" w:type="auto"/>
        <w:tblLook w:val="04A0" w:firstRow="1" w:lastRow="0" w:firstColumn="1" w:lastColumn="0" w:noHBand="0" w:noVBand="1"/>
      </w:tblPr>
      <w:tblGrid>
        <w:gridCol w:w="9629"/>
      </w:tblGrid>
      <w:tr w:rsidR="009743EF" w14:paraId="4B538A3C" w14:textId="77777777" w:rsidTr="00BF2649">
        <w:tc>
          <w:tcPr>
            <w:tcW w:w="9629" w:type="dxa"/>
          </w:tcPr>
          <w:p w14:paraId="2067E9FA" w14:textId="77777777" w:rsidR="009743EF" w:rsidRPr="006D364D" w:rsidRDefault="009743EF" w:rsidP="00BF2649">
            <w:pPr>
              <w:spacing w:before="240" w:after="0" w:line="240" w:lineRule="auto"/>
              <w:rPr>
                <w:rFonts w:ascii="Times" w:eastAsia="Batang" w:hAnsi="Times"/>
                <w:b/>
                <w:bCs/>
                <w:sz w:val="20"/>
                <w:lang w:eastAsia="en-US"/>
              </w:rPr>
            </w:pPr>
            <w:r w:rsidRPr="006D364D">
              <w:rPr>
                <w:rFonts w:ascii="Times" w:eastAsia="Batang" w:hAnsi="Times"/>
                <w:b/>
                <w:bCs/>
                <w:sz w:val="20"/>
                <w:lang w:eastAsia="en-US"/>
              </w:rPr>
              <w:t>Conclusion</w:t>
            </w:r>
          </w:p>
          <w:p w14:paraId="4D87D0DE" w14:textId="77777777" w:rsidR="009743EF" w:rsidRPr="006D364D" w:rsidRDefault="009743EF" w:rsidP="00BF2649">
            <w:pPr>
              <w:spacing w:after="0" w:line="240" w:lineRule="auto"/>
              <w:rPr>
                <w:rFonts w:ascii="Times" w:eastAsia="Batang" w:hAnsi="Times"/>
                <w:color w:val="000000"/>
                <w:sz w:val="20"/>
                <w:lang w:eastAsia="en-US"/>
              </w:rPr>
            </w:pPr>
            <w:r w:rsidRPr="006D364D">
              <w:rPr>
                <w:rFonts w:ascii="Times" w:eastAsia="Batang" w:hAnsi="Times"/>
                <w:color w:val="000000"/>
                <w:sz w:val="20"/>
                <w:lang w:eastAsia="en-US"/>
              </w:rPr>
              <w:t>RAN1 does not further discuss new UE assistance information related to channel conditions, traffic, UE mobility.</w:t>
            </w:r>
          </w:p>
          <w:p w14:paraId="6E64C590" w14:textId="77777777" w:rsidR="009743EF" w:rsidRPr="006D364D" w:rsidRDefault="009743EF" w:rsidP="00BF2649">
            <w:pPr>
              <w:spacing w:before="240" w:after="0" w:line="240" w:lineRule="auto"/>
              <w:rPr>
                <w:rFonts w:ascii="Times" w:eastAsia="Batang" w:hAnsi="Times"/>
                <w:b/>
                <w:bCs/>
                <w:sz w:val="20"/>
              </w:rPr>
            </w:pPr>
            <w:r w:rsidRPr="006D364D">
              <w:rPr>
                <w:rFonts w:ascii="Times" w:eastAsia="Batang" w:hAnsi="Times" w:hint="eastAsia"/>
                <w:b/>
                <w:bCs/>
                <w:sz w:val="20"/>
              </w:rPr>
              <w:t>C</w:t>
            </w:r>
            <w:r w:rsidRPr="006D364D">
              <w:rPr>
                <w:rFonts w:ascii="Times" w:eastAsia="Batang" w:hAnsi="Times"/>
                <w:b/>
                <w:bCs/>
                <w:sz w:val="20"/>
              </w:rPr>
              <w:t>onclusion</w:t>
            </w:r>
          </w:p>
          <w:p w14:paraId="2AFC1B40" w14:textId="77777777" w:rsidR="009743EF" w:rsidRPr="00B7767A" w:rsidRDefault="009743EF" w:rsidP="00BF2649">
            <w:pPr>
              <w:spacing w:after="0" w:line="240" w:lineRule="auto"/>
              <w:rPr>
                <w:rFonts w:ascii="Times" w:eastAsia="Batang" w:hAnsi="Times"/>
                <w:sz w:val="20"/>
                <w:lang w:eastAsia="en-US"/>
              </w:rPr>
            </w:pPr>
            <w:r w:rsidRPr="006D364D">
              <w:rPr>
                <w:rFonts w:ascii="Times" w:eastAsia="Batang" w:hAnsi="Times"/>
                <w:sz w:val="20"/>
                <w:lang w:eastAsia="en-US"/>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24AE3C7F" w14:textId="77777777" w:rsidR="009743EF" w:rsidRPr="006D364D" w:rsidRDefault="009743EF" w:rsidP="00BF2649">
            <w:pPr>
              <w:spacing w:after="0" w:line="240" w:lineRule="auto"/>
            </w:pPr>
          </w:p>
        </w:tc>
      </w:tr>
    </w:tbl>
    <w:p w14:paraId="5EEAFF2E" w14:textId="2B711985" w:rsidR="009743EF" w:rsidRDefault="009743EF" w:rsidP="009743EF">
      <w:pPr>
        <w:spacing w:before="240" w:line="240" w:lineRule="auto"/>
      </w:pPr>
      <w:r>
        <w:rPr>
          <w:lang w:val="en-US"/>
        </w:rPr>
        <w:t>Instead, RAN1 sent an LS to RAN4 (R1-2405736) to ask both feasibility and usefulness of the UAI on measurement occasion. Triggered by the LS, RAN4</w:t>
      </w:r>
      <w:r w:rsidR="004B3E2A">
        <w:rPr>
          <w:lang w:val="en-US"/>
        </w:rPr>
        <w:t xml:space="preserve"> had</w:t>
      </w:r>
      <w:r>
        <w:rPr>
          <w:lang w:val="en-US"/>
        </w:rPr>
        <w:t xml:space="preserve"> the relevant discussion</w:t>
      </w:r>
      <w:r w:rsidR="004B3E2A">
        <w:rPr>
          <w:lang w:val="en-US"/>
        </w:rPr>
        <w:t xml:space="preserve">s in the last </w:t>
      </w:r>
      <w:proofErr w:type="spellStart"/>
      <w:r w:rsidR="004B3E2A">
        <w:rPr>
          <w:lang w:val="en-US"/>
        </w:rPr>
        <w:t>quater</w:t>
      </w:r>
      <w:proofErr w:type="spellEnd"/>
      <w:r>
        <w:rPr>
          <w:lang w:val="en-US"/>
        </w:rPr>
        <w:t xml:space="preserve"> but they did not reach the conclusion yet. In this situation, </w:t>
      </w:r>
      <w:proofErr w:type="gramStart"/>
      <w:r>
        <w:rPr>
          <w:lang w:val="en-US"/>
        </w:rPr>
        <w:t>RAN2</w:t>
      </w:r>
      <w:proofErr w:type="gramEnd"/>
      <w:r>
        <w:rPr>
          <w:lang w:val="en-US"/>
        </w:rPr>
        <w:t xml:space="preserve"> discussion on UAI may be too early. We see that RAN2 starts the discussion on UAI after RAN4 reaches </w:t>
      </w:r>
      <w:proofErr w:type="gramStart"/>
      <w:r>
        <w:rPr>
          <w:lang w:val="en-US"/>
        </w:rPr>
        <w:t>a conclusion</w:t>
      </w:r>
      <w:proofErr w:type="gramEnd"/>
      <w:r>
        <w:rPr>
          <w:lang w:val="en-US"/>
        </w:rPr>
        <w:t xml:space="preserve"> that it is at least feasible.</w:t>
      </w:r>
      <w:r>
        <w:t xml:space="preserve"> </w:t>
      </w:r>
    </w:p>
    <w:p w14:paraId="784C6A50" w14:textId="77777777" w:rsidR="009743EF" w:rsidRDefault="009743EF" w:rsidP="009743EF">
      <w:pPr>
        <w:pStyle w:val="Proposal"/>
      </w:pPr>
      <w:r>
        <w:t>RAN2 discusses UAI on measurement occasion after RAN4 reaches a conclusion.</w:t>
      </w:r>
    </w:p>
    <w:p w14:paraId="4A513814" w14:textId="4504EA4B" w:rsidR="00B474B3" w:rsidRDefault="00571AA1" w:rsidP="00EF18D6">
      <w:pPr>
        <w:spacing w:line="240" w:lineRule="auto"/>
      </w:pPr>
      <w:r>
        <w:t xml:space="preserve"> </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0AAAD33"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3B72FBEF" w14:textId="77777777" w:rsidR="003B0DED" w:rsidRDefault="003B0DED" w:rsidP="003B0DED">
      <w:pPr>
        <w:pStyle w:val="Proposal"/>
        <w:numPr>
          <w:ilvl w:val="0"/>
          <w:numId w:val="41"/>
        </w:numPr>
      </w:pPr>
      <w:r>
        <w:t xml:space="preserve">Stage-2 spec captures that the impact on DSR from the gap skipping can be considered and avoided by the network. </w:t>
      </w:r>
    </w:p>
    <w:p w14:paraId="7A30C142" w14:textId="5C13BB09" w:rsidR="003B0DED" w:rsidRPr="003B0DED" w:rsidRDefault="003B0DED" w:rsidP="0040163C">
      <w:pPr>
        <w:pStyle w:val="Proposal"/>
        <w:spacing w:afterLines="50"/>
        <w:jc w:val="left"/>
        <w:rPr>
          <w:rFonts w:eastAsia="Malgun Gothic"/>
          <w:lang w:eastAsia="ko-KR"/>
        </w:rPr>
      </w:pPr>
      <w:r w:rsidRPr="006D4400">
        <w:rPr>
          <w:rFonts w:hint="eastAsia"/>
        </w:rPr>
        <w:t xml:space="preserve">DRX impact of gap skipping can be considered and avoided by network implementation, </w:t>
      </w:r>
      <w:proofErr w:type="gramStart"/>
      <w:r w:rsidRPr="006D4400">
        <w:rPr>
          <w:rFonts w:hint="eastAsia"/>
        </w:rPr>
        <w:t>similar to</w:t>
      </w:r>
      <w:proofErr w:type="gramEnd"/>
      <w:r w:rsidRPr="006D4400">
        <w:rPr>
          <w:rFonts w:hint="eastAsia"/>
        </w:rPr>
        <w:t xml:space="preserve"> DSR impact. </w:t>
      </w:r>
    </w:p>
    <w:p w14:paraId="69DEC175" w14:textId="49827D5B" w:rsidR="003B0DED" w:rsidRPr="003B0DED" w:rsidRDefault="003B0DED" w:rsidP="008A5CA2">
      <w:pPr>
        <w:pStyle w:val="Proposal"/>
        <w:spacing w:afterLines="50"/>
        <w:jc w:val="left"/>
        <w:rPr>
          <w:rFonts w:eastAsia="Malgun Gothic"/>
          <w:lang w:eastAsia="ko-KR"/>
        </w:rPr>
      </w:pPr>
      <w:r>
        <w:t>TS 38.321 specifies: if the explicit indication by DCI to skip a particular gap, the MAC entity considers the corresponding first measurement gap as not activated.</w:t>
      </w:r>
    </w:p>
    <w:p w14:paraId="46C410B3" w14:textId="1B687C45" w:rsidR="00700BF7" w:rsidRPr="003B0DED" w:rsidRDefault="003B0DED" w:rsidP="001979E2">
      <w:pPr>
        <w:pStyle w:val="Proposal"/>
        <w:overflowPunct/>
        <w:autoSpaceDE/>
        <w:autoSpaceDN/>
        <w:adjustRightInd/>
        <w:snapToGrid w:val="0"/>
        <w:spacing w:after="100" w:afterAutospacing="1"/>
        <w:textAlignment w:val="auto"/>
        <w:rPr>
          <w:rFonts w:eastAsia="MS Gothic"/>
          <w:szCs w:val="22"/>
          <w:lang w:eastAsia="x-none"/>
        </w:rPr>
      </w:pPr>
      <w:r>
        <w:t>RAN2 discusses UAI on measurement occasion after RAN4 reaches a conclusion.</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7A9CD" w14:textId="77777777" w:rsidR="0026337E" w:rsidRDefault="0026337E">
      <w:pPr>
        <w:spacing w:after="0" w:line="240" w:lineRule="auto"/>
      </w:pPr>
      <w:r>
        <w:separator/>
      </w:r>
    </w:p>
  </w:endnote>
  <w:endnote w:type="continuationSeparator" w:id="0">
    <w:p w14:paraId="0D8AB648" w14:textId="77777777" w:rsidR="0026337E" w:rsidRDefault="0026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23BEF" w14:textId="77777777" w:rsidR="0026337E" w:rsidRDefault="0026337E">
      <w:pPr>
        <w:spacing w:after="0" w:line="240" w:lineRule="auto"/>
      </w:pPr>
      <w:r>
        <w:separator/>
      </w:r>
    </w:p>
  </w:footnote>
  <w:footnote w:type="continuationSeparator" w:id="0">
    <w:p w14:paraId="66B334CE" w14:textId="77777777" w:rsidR="0026337E" w:rsidRDefault="00263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10"/>
  </w:num>
  <w:num w:numId="5" w16cid:durableId="740754545">
    <w:abstractNumId w:val="17"/>
  </w:num>
  <w:num w:numId="6" w16cid:durableId="356853619">
    <w:abstractNumId w:val="32"/>
  </w:num>
  <w:num w:numId="7" w16cid:durableId="407768287">
    <w:abstractNumId w:val="9"/>
  </w:num>
  <w:num w:numId="8" w16cid:durableId="1249731748">
    <w:abstractNumId w:val="8"/>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3"/>
  </w:num>
  <w:num w:numId="15" w16cid:durableId="263652992">
    <w:abstractNumId w:val="15"/>
  </w:num>
  <w:num w:numId="16" w16cid:durableId="243807299">
    <w:abstractNumId w:val="16"/>
  </w:num>
  <w:num w:numId="17" w16cid:durableId="572351326">
    <w:abstractNumId w:val="21"/>
  </w:num>
  <w:num w:numId="18" w16cid:durableId="1995376813">
    <w:abstractNumId w:val="33"/>
  </w:num>
  <w:num w:numId="19" w16cid:durableId="1213736766">
    <w:abstractNumId w:val="20"/>
  </w:num>
  <w:num w:numId="20" w16cid:durableId="1125275007">
    <w:abstractNumId w:val="13"/>
  </w:num>
  <w:num w:numId="21" w16cid:durableId="2040547397">
    <w:abstractNumId w:val="34"/>
  </w:num>
  <w:num w:numId="22" w16cid:durableId="529881585">
    <w:abstractNumId w:val="25"/>
  </w:num>
  <w:num w:numId="23" w16cid:durableId="177432559">
    <w:abstractNumId w:val="6"/>
  </w:num>
  <w:num w:numId="24" w16cid:durableId="480658074">
    <w:abstractNumId w:val="12"/>
  </w:num>
  <w:num w:numId="25" w16cid:durableId="463619110">
    <w:abstractNumId w:val="26"/>
  </w:num>
  <w:num w:numId="26" w16cid:durableId="1726296772">
    <w:abstractNumId w:val="5"/>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4"/>
  </w:num>
  <w:num w:numId="32" w16cid:durableId="302272799">
    <w:abstractNumId w:val="30"/>
  </w:num>
  <w:num w:numId="33" w16cid:durableId="1636331422">
    <w:abstractNumId w:val="31"/>
  </w:num>
  <w:num w:numId="34" w16cid:durableId="559513574">
    <w:abstractNumId w:val="7"/>
  </w:num>
  <w:num w:numId="35" w16cid:durableId="2102951736">
    <w:abstractNumId w:val="1"/>
  </w:num>
  <w:num w:numId="36" w16cid:durableId="437220458">
    <w:abstractNumId w:val="22"/>
  </w:num>
  <w:num w:numId="37" w16cid:durableId="1230654683">
    <w:abstractNumId w:val="19"/>
  </w:num>
  <w:num w:numId="38" w16cid:durableId="76485061">
    <w:abstractNumId w:val="2"/>
  </w:num>
  <w:num w:numId="39" w16cid:durableId="1846558059">
    <w:abstractNumId w:val="18"/>
  </w:num>
  <w:num w:numId="40" w16cid:durableId="260647546">
    <w:abstractNumId w:val="18"/>
  </w:num>
  <w:num w:numId="41" w16cid:durableId="1028681521">
    <w:abstractNumId w:val="1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6C5"/>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E83"/>
    <w:rsid w:val="00257FC6"/>
    <w:rsid w:val="00260063"/>
    <w:rsid w:val="0026173F"/>
    <w:rsid w:val="0026220B"/>
    <w:rsid w:val="0026311D"/>
    <w:rsid w:val="0026337E"/>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390"/>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B75"/>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6F0"/>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8DD"/>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DED"/>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3F1B"/>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A84"/>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3E2A"/>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29CE"/>
    <w:rsid w:val="004F5900"/>
    <w:rsid w:val="004F658F"/>
    <w:rsid w:val="004F7278"/>
    <w:rsid w:val="00500BED"/>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6CBA"/>
    <w:rsid w:val="005B0467"/>
    <w:rsid w:val="005B0E2D"/>
    <w:rsid w:val="005B143E"/>
    <w:rsid w:val="005B1FF4"/>
    <w:rsid w:val="005B27D2"/>
    <w:rsid w:val="005B2D56"/>
    <w:rsid w:val="005B2E06"/>
    <w:rsid w:val="005B35E6"/>
    <w:rsid w:val="005B663C"/>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0A1A"/>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2AD9"/>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678"/>
    <w:rsid w:val="00687AD8"/>
    <w:rsid w:val="00687B7F"/>
    <w:rsid w:val="00687E12"/>
    <w:rsid w:val="00690049"/>
    <w:rsid w:val="00690AEE"/>
    <w:rsid w:val="00690B14"/>
    <w:rsid w:val="00691537"/>
    <w:rsid w:val="00691979"/>
    <w:rsid w:val="006921C4"/>
    <w:rsid w:val="00692750"/>
    <w:rsid w:val="00692798"/>
    <w:rsid w:val="00692AFC"/>
    <w:rsid w:val="00692DAF"/>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400"/>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2F4"/>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57"/>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377"/>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0E3C"/>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8A"/>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677"/>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5CEF"/>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EF"/>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545"/>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6DF"/>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5130"/>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6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ABD"/>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0D9"/>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415"/>
    <w:rsid w:val="00F167C1"/>
    <w:rsid w:val="00F171CD"/>
    <w:rsid w:val="00F174FE"/>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5F69"/>
    <w:rsid w:val="00FB7504"/>
    <w:rsid w:val="00FB77B4"/>
    <w:rsid w:val="00FB7D44"/>
    <w:rsid w:val="00FB7E15"/>
    <w:rsid w:val="00FC0069"/>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A39"/>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291</cp:revision>
  <cp:lastPrinted>2018-04-04T09:40:00Z</cp:lastPrinted>
  <dcterms:created xsi:type="dcterms:W3CDTF">2024-05-09T11:23:00Z</dcterms:created>
  <dcterms:modified xsi:type="dcterms:W3CDTF">2024-11-08T06:43:00Z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